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60"/>
        <w:jc w:val="center"/>
      </w:pPr>
      <w:r>
        <w:rPr>
          <w:rFonts w:ascii="Arial" w:cs="Arial" w:eastAsia="Arial" w:hAnsi="Arial"/>
          <w:b/>
          <w:bCs/>
          <w:color w:val="2E4057"/>
          <w:sz w:val="36"/>
          <w:szCs w:val="36"/>
        </w:rPr>
        <w:t xml:space="preserve">Daniel J. Munoz, Ph.D.</w:t>
      </w:r>
    </w:p>
    <w:p>
      <w:pPr>
        <w:spacing w:before="0" w:after="40"/>
        <w:jc w:val="center"/>
      </w:pPr>
      <w:r>
        <w:rPr>
          <w:rFonts w:ascii="Arial" w:cs="Arial" w:eastAsia="Arial" w:hAnsi="Arial"/>
          <w:color w:val="555555"/>
          <w:sz w:val="22"/>
          <w:szCs w:val="22"/>
        </w:rPr>
        <w:t xml:space="preserve">Licensed Psychologist  |  Oregon License #1887</w:t>
      </w:r>
    </w:p>
    <w:p>
      <w:pPr>
        <w:spacing w:before="0" w:after="40"/>
        <w:jc w:val="center"/>
      </w:pPr>
      <w:r>
        <w:rPr>
          <w:rFonts w:ascii="Arial" w:cs="Arial" w:eastAsia="Arial" w:hAnsi="Arial"/>
          <w:color w:val="555555"/>
          <w:sz w:val="22"/>
          <w:szCs w:val="22"/>
        </w:rPr>
        <w:t xml:space="preserve">Children's Program  |  6443 SW Beaverton Hillsdale Hwy #300, Portland, OR 97219</w:t>
      </w:r>
    </w:p>
    <w:p>
      <w:pPr>
        <w:spacing w:before="0" w:after="80"/>
        <w:jc w:val="center"/>
      </w:pPr>
      <w:r>
        <w:rPr>
          <w:rFonts w:ascii="Arial" w:cs="Arial" w:eastAsia="Arial" w:hAnsi="Arial"/>
          <w:color w:val="555555"/>
          <w:sz w:val="22"/>
          <w:szCs w:val="22"/>
        </w:rPr>
        <w:t xml:space="preserve">503-452-8002  |  dmunoz@childrensprogram.com</w:t>
      </w:r>
    </w:p>
    <w:p>
      <w:pPr>
        <w:pBdr>
          <w:bottom w:val="single" w:color="2E4057" w:sz="6" w:space="4"/>
        </w:pBdr>
        <w:spacing w:before="240" w:after="60"/>
      </w:pPr>
      <w:r>
        <w:rPr>
          <w:rFonts w:ascii="Arial" w:cs="Arial" w:eastAsia="Arial" w:hAnsi="Arial"/>
          <w:b/>
          <w:bCs/>
          <w:color w:val="2E4057"/>
          <w:sz w:val="26"/>
          <w:szCs w:val="26"/>
        </w:rPr>
        <w:t xml:space="preserve">Professional Profile</w:t>
      </w:r>
    </w:p>
    <w:p>
      <w:pPr>
        <w:spacing w:before="80" w:after="80"/>
      </w:pPr>
      <w:r>
        <w:rPr>
          <w:rFonts w:ascii="Arial" w:cs="Arial" w:eastAsia="Arial" w:hAnsi="Arial"/>
          <w:sz w:val="22"/>
          <w:szCs w:val="22"/>
        </w:rPr>
        <w:t xml:space="preserve">Licensed clinical psychologist with 15+ years of experience specializing in comprehensive psychological assessment of children, adolescents, and adults. Clinical expertise includes cognitive and intellectual assessment, ADHD and executive functioning, complex differential diagnosis, and evidence-based treatment of gender diverse youth and families and eating and weight disorders. Serves as Director of Artificial Intelligence Integration at an APA-accredited outpatient clinic, leading responsible AI adoption in clinical assessment, documentation, and workflow design. Recognized expertise at the intersection of clinical psychology and emerging healthcare technology.</w:t>
      </w:r>
    </w:p>
    <w:p>
      <w:pPr>
        <w:pBdr>
          <w:bottom w:val="single" w:color="2E4057" w:sz="6" w:space="4"/>
        </w:pBdr>
        <w:spacing w:before="240" w:after="60"/>
      </w:pPr>
      <w:r>
        <w:rPr>
          <w:rFonts w:ascii="Arial" w:cs="Arial" w:eastAsia="Arial" w:hAnsi="Arial"/>
          <w:b/>
          <w:bCs/>
          <w:color w:val="2E4057"/>
          <w:sz w:val="26"/>
          <w:szCs w:val="26"/>
        </w:rPr>
        <w:t xml:space="preserve">Education</w:t>
      </w:r>
    </w:p>
    <w:p>
      <w:pPr>
        <w:spacing w:before="60" w:after="0"/>
      </w:pPr>
      <w:r>
        <w:t xml:space="preserve"/>
      </w:r>
    </w:p>
    <w:p>
      <w:pPr>
        <w:tabs>
          <w:tab w:val="right" w:pos="9360"/>
        </w:tabs>
        <w:spacing w:before="60" w:after="20"/>
      </w:pPr>
      <w:r>
        <w:rPr>
          <w:rFonts w:ascii="Arial" w:cs="Arial" w:eastAsia="Arial" w:hAnsi="Arial"/>
          <w:b/>
          <w:bCs/>
          <w:sz w:val="22"/>
          <w:szCs w:val="22"/>
        </w:rPr>
        <w:t xml:space="preserve">Postdoctoral Fellowship in Clinical Psychology</w:t>
      </w:r>
      <w:r>
        <w:rPr>
          <w:rFonts w:ascii="Arial" w:cs="Arial" w:eastAsia="Arial" w:hAnsi="Arial"/>
          <w:color w:val="555555"/>
          <w:sz w:val="22"/>
          <w:szCs w:val="22"/>
        </w:rPr>
        <w:t xml:space="preserve">	2006–2007</w:t>
      </w:r>
    </w:p>
    <w:p>
      <w:pPr>
        <w:spacing w:before="0" w:after="40"/>
        <w:ind w:left="360"/>
      </w:pPr>
      <w:r>
        <w:rPr>
          <w:rFonts w:ascii="Arial" w:cs="Arial" w:eastAsia="Arial" w:hAnsi="Arial"/>
          <w:i/>
          <w:iCs/>
          <w:color w:val="444444"/>
          <w:sz w:val="21"/>
          <w:szCs w:val="21"/>
        </w:rPr>
        <w:t xml:space="preserve">University of Chicago Eating Disorders Program  |  Mentor: Dr. Daniel le Grange</w:t>
      </w:r>
    </w:p>
    <w:p>
      <w:pPr>
        <w:spacing w:before="40" w:after="0"/>
      </w:pPr>
      <w:r>
        <w:t xml:space="preserve"/>
      </w:r>
    </w:p>
    <w:p>
      <w:pPr>
        <w:tabs>
          <w:tab w:val="right" w:pos="9360"/>
        </w:tabs>
        <w:spacing w:before="60" w:after="20"/>
      </w:pPr>
      <w:r>
        <w:rPr>
          <w:rFonts w:ascii="Arial" w:cs="Arial" w:eastAsia="Arial" w:hAnsi="Arial"/>
          <w:b/>
          <w:bCs/>
          <w:sz w:val="22"/>
          <w:szCs w:val="22"/>
        </w:rPr>
        <w:t xml:space="preserve">Ph.D., Clinical Psychology</w:t>
      </w:r>
      <w:r>
        <w:rPr>
          <w:rFonts w:ascii="Arial" w:cs="Arial" w:eastAsia="Arial" w:hAnsi="Arial"/>
          <w:color w:val="555555"/>
          <w:sz w:val="22"/>
          <w:szCs w:val="22"/>
        </w:rPr>
        <w:t xml:space="preserve">	2006</w:t>
      </w:r>
    </w:p>
    <w:p>
      <w:pPr>
        <w:spacing w:before="0" w:after="40"/>
        <w:ind w:left="360"/>
      </w:pPr>
      <w:r>
        <w:rPr>
          <w:rFonts w:ascii="Arial" w:cs="Arial" w:eastAsia="Arial" w:hAnsi="Arial"/>
          <w:i/>
          <w:iCs/>
          <w:color w:val="444444"/>
          <w:sz w:val="21"/>
          <w:szCs w:val="21"/>
        </w:rPr>
        <w:t xml:space="preserve">University at Albany, State University of New York  |  Mentor: Dr. Drew Anderson</w:t>
      </w:r>
    </w:p>
    <w:p>
      <w:pPr>
        <w:spacing w:before="0" w:after="40"/>
        <w:ind w:left="360"/>
      </w:pPr>
      <w:r>
        <w:rPr>
          <w:rFonts w:ascii="Arial" w:cs="Arial" w:eastAsia="Arial" w:hAnsi="Arial"/>
          <w:i/>
          <w:iCs/>
          <w:color w:val="444444"/>
          <w:sz w:val="21"/>
          <w:szCs w:val="21"/>
        </w:rPr>
        <w:t xml:space="preserve">Dissertation: "The Efficacy of Two Brief Interventions to Reduce Soda Consumption in a College Population"</w:t>
      </w:r>
    </w:p>
    <w:p>
      <w:pPr>
        <w:spacing w:before="40" w:after="0"/>
      </w:pPr>
      <w:r>
        <w:t xml:space="preserve"/>
      </w:r>
    </w:p>
    <w:p>
      <w:pPr>
        <w:tabs>
          <w:tab w:val="right" w:pos="9360"/>
        </w:tabs>
        <w:spacing w:before="60" w:after="20"/>
      </w:pPr>
      <w:r>
        <w:rPr>
          <w:rFonts w:ascii="Arial" w:cs="Arial" w:eastAsia="Arial" w:hAnsi="Arial"/>
          <w:b/>
          <w:bCs/>
          <w:sz w:val="22"/>
          <w:szCs w:val="22"/>
        </w:rPr>
        <w:t xml:space="preserve">M.A., Clinical Psychology</w:t>
      </w:r>
      <w:r>
        <w:rPr>
          <w:rFonts w:ascii="Arial" w:cs="Arial" w:eastAsia="Arial" w:hAnsi="Arial"/>
          <w:color w:val="555555"/>
          <w:sz w:val="22"/>
          <w:szCs w:val="22"/>
        </w:rPr>
        <w:t xml:space="preserve">	2004</w:t>
      </w:r>
    </w:p>
    <w:p>
      <w:pPr>
        <w:spacing w:before="0" w:after="40"/>
        <w:ind w:left="360"/>
      </w:pPr>
      <w:r>
        <w:rPr>
          <w:rFonts w:ascii="Arial" w:cs="Arial" w:eastAsia="Arial" w:hAnsi="Arial"/>
          <w:i/>
          <w:iCs/>
          <w:color w:val="444444"/>
          <w:sz w:val="21"/>
          <w:szCs w:val="21"/>
        </w:rPr>
        <w:t xml:space="preserve">University at Albany, State University of New York</w:t>
      </w:r>
    </w:p>
    <w:p>
      <w:pPr>
        <w:spacing w:before="40" w:after="0"/>
      </w:pPr>
      <w:r>
        <w:t xml:space="preserve"/>
      </w:r>
    </w:p>
    <w:p>
      <w:pPr>
        <w:tabs>
          <w:tab w:val="right" w:pos="9360"/>
        </w:tabs>
        <w:spacing w:before="60" w:after="20"/>
      </w:pPr>
      <w:r>
        <w:rPr>
          <w:rFonts w:ascii="Arial" w:cs="Arial" w:eastAsia="Arial" w:hAnsi="Arial"/>
          <w:b/>
          <w:bCs/>
          <w:sz w:val="22"/>
          <w:szCs w:val="22"/>
        </w:rPr>
        <w:t xml:space="preserve">B.A., Psychology</w:t>
      </w:r>
      <w:r>
        <w:rPr>
          <w:rFonts w:ascii="Arial" w:cs="Arial" w:eastAsia="Arial" w:hAnsi="Arial"/>
          <w:color w:val="555555"/>
          <w:sz w:val="22"/>
          <w:szCs w:val="22"/>
        </w:rPr>
        <w:t xml:space="preserve">	2000</w:t>
      </w:r>
    </w:p>
    <w:p>
      <w:pPr>
        <w:spacing w:before="0" w:after="40"/>
        <w:ind w:left="360"/>
      </w:pPr>
      <w:r>
        <w:rPr>
          <w:rFonts w:ascii="Arial" w:cs="Arial" w:eastAsia="Arial" w:hAnsi="Arial"/>
          <w:i/>
          <w:iCs/>
          <w:color w:val="444444"/>
          <w:sz w:val="21"/>
          <w:szCs w:val="21"/>
        </w:rPr>
        <w:t xml:space="preserve">University of Michigan, Ann Arbor</w:t>
      </w:r>
    </w:p>
    <w:p>
      <w:pPr>
        <w:pBdr>
          <w:bottom w:val="single" w:color="2E4057" w:sz="6" w:space="4"/>
        </w:pBdr>
        <w:spacing w:before="240" w:after="60"/>
      </w:pPr>
      <w:r>
        <w:rPr>
          <w:rFonts w:ascii="Arial" w:cs="Arial" w:eastAsia="Arial" w:hAnsi="Arial"/>
          <w:b/>
          <w:bCs/>
          <w:color w:val="2E4057"/>
          <w:sz w:val="26"/>
          <w:szCs w:val="26"/>
        </w:rPr>
        <w:t xml:space="preserve">Professional Experience</w:t>
      </w:r>
    </w:p>
    <w:p>
      <w:pPr>
        <w:spacing w:before="60" w:after="0"/>
      </w:pPr>
      <w:r>
        <w:t xml:space="preserve"/>
      </w:r>
    </w:p>
    <w:p>
      <w:pPr>
        <w:tabs>
          <w:tab w:val="right" w:pos="9360"/>
        </w:tabs>
        <w:spacing w:before="60" w:after="20"/>
      </w:pPr>
      <w:r>
        <w:rPr>
          <w:rFonts w:ascii="Arial" w:cs="Arial" w:eastAsia="Arial" w:hAnsi="Arial"/>
          <w:b/>
          <w:bCs/>
          <w:sz w:val="22"/>
          <w:szCs w:val="22"/>
        </w:rPr>
        <w:t xml:space="preserve">Director of Artificial Intelligence Integration  —  Children's Program, Portland, OR</w:t>
      </w:r>
      <w:r>
        <w:rPr>
          <w:rFonts w:ascii="Arial" w:cs="Arial" w:eastAsia="Arial" w:hAnsi="Arial"/>
          <w:color w:val="555555"/>
          <w:sz w:val="22"/>
          <w:szCs w:val="22"/>
        </w:rPr>
        <w:t xml:space="preserve">	2025–Present</w:t>
      </w:r>
    </w:p>
    <w:p>
      <w:pPr>
        <w:pStyle w:val="ListParagraph"/>
        <w:numPr>
          <w:ilvl w:val="0"/>
          <w:numId w:val="2"/>
        </w:numPr>
        <w:spacing w:before="30" w:after="30"/>
      </w:pPr>
      <w:r>
        <w:rPr>
          <w:rFonts w:ascii="Arial" w:cs="Arial" w:eastAsia="Arial" w:hAnsi="Arial"/>
          <w:b w:val="false"/>
          <w:bCs w:val="false"/>
          <w:sz w:val="22"/>
          <w:szCs w:val="22"/>
        </w:rPr>
        <w:t xml:space="preserve">Lead clinic-wide AI adoption initiative for a 65-staff APA-accredited outpatient psychology clinic</w:t>
      </w:r>
    </w:p>
    <w:p>
      <w:pPr>
        <w:pStyle w:val="ListParagraph"/>
        <w:numPr>
          <w:ilvl w:val="0"/>
          <w:numId w:val="2"/>
        </w:numPr>
        <w:spacing w:before="30" w:after="30"/>
      </w:pPr>
      <w:r>
        <w:rPr>
          <w:rFonts w:ascii="Arial" w:cs="Arial" w:eastAsia="Arial" w:hAnsi="Arial"/>
          <w:b w:val="false"/>
          <w:bCs w:val="false"/>
          <w:sz w:val="22"/>
          <w:szCs w:val="22"/>
        </w:rPr>
        <w:t xml:space="preserve">Conduct systematic evaluation of commercial and open-source large language models for clinical appropriateness, including comparative analysis of model outputs for behavioral health applications</w:t>
      </w:r>
    </w:p>
    <w:p>
      <w:pPr>
        <w:pStyle w:val="ListParagraph"/>
        <w:numPr>
          <w:ilvl w:val="0"/>
          <w:numId w:val="2"/>
        </w:numPr>
        <w:spacing w:before="30" w:after="30"/>
      </w:pPr>
      <w:r>
        <w:rPr>
          <w:rFonts w:ascii="Arial" w:cs="Arial" w:eastAsia="Arial" w:hAnsi="Arial"/>
          <w:b w:val="false"/>
          <w:bCs w:val="false"/>
          <w:sz w:val="22"/>
          <w:szCs w:val="22"/>
        </w:rPr>
        <w:t xml:space="preserve">Develop ethical and legal frameworks governing AI use in clinical documentation, assessment workflows, and patient intake, working to align with current and emerging ethical and professional guidelines related to AI use in psychological practice</w:t>
      </w:r>
    </w:p>
    <w:p>
      <w:pPr>
        <w:pStyle w:val="ListParagraph"/>
        <w:numPr>
          <w:ilvl w:val="0"/>
          <w:numId w:val="2"/>
        </w:numPr>
        <w:spacing w:before="30" w:after="30"/>
      </w:pPr>
      <w:r>
        <w:rPr>
          <w:rFonts w:ascii="Arial" w:cs="Arial" w:eastAsia="Arial" w:hAnsi="Arial"/>
          <w:b w:val="false"/>
          <w:bCs w:val="false"/>
          <w:sz w:val="22"/>
          <w:szCs w:val="22"/>
        </w:rPr>
        <w:t xml:space="preserve">Implement AI-assisted procedures to improve efficiency across assessment, documentation, and intake operations</w:t>
      </w:r>
    </w:p>
    <w:p>
      <w:pPr>
        <w:spacing w:before="60" w:after="0"/>
      </w:pPr>
      <w:r>
        <w:t xml:space="preserve"/>
      </w:r>
    </w:p>
    <w:p>
      <w:pPr>
        <w:tabs>
          <w:tab w:val="right" w:pos="9360"/>
        </w:tabs>
        <w:spacing w:before="60" w:after="20"/>
      </w:pPr>
      <w:r>
        <w:rPr>
          <w:rFonts w:ascii="Arial" w:cs="Arial" w:eastAsia="Arial" w:hAnsi="Arial"/>
          <w:b/>
          <w:bCs/>
          <w:sz w:val="22"/>
          <w:szCs w:val="22"/>
        </w:rPr>
        <w:t xml:space="preserve">Director of Research  —  Children's Program, Portland, OR</w:t>
      </w:r>
      <w:r>
        <w:rPr>
          <w:rFonts w:ascii="Arial" w:cs="Arial" w:eastAsia="Arial" w:hAnsi="Arial"/>
          <w:color w:val="555555"/>
          <w:sz w:val="22"/>
          <w:szCs w:val="22"/>
        </w:rPr>
        <w:t xml:space="preserve">	2021–Present</w:t>
      </w:r>
    </w:p>
    <w:p>
      <w:pPr>
        <w:pStyle w:val="ListParagraph"/>
        <w:numPr>
          <w:ilvl w:val="0"/>
          <w:numId w:val="2"/>
        </w:numPr>
        <w:spacing w:before="30" w:after="30"/>
      </w:pPr>
      <w:r>
        <w:rPr>
          <w:rFonts w:ascii="Arial" w:cs="Arial" w:eastAsia="Arial" w:hAnsi="Arial"/>
          <w:b w:val="false"/>
          <w:bCs w:val="false"/>
          <w:sz w:val="22"/>
          <w:szCs w:val="22"/>
        </w:rPr>
        <w:t xml:space="preserve">Oversee research infrastructure and methodology for an APA-accredited outpatient clinic</w:t>
      </w:r>
    </w:p>
    <w:p>
      <w:pPr>
        <w:pStyle w:val="ListParagraph"/>
        <w:numPr>
          <w:ilvl w:val="0"/>
          <w:numId w:val="2"/>
        </w:numPr>
        <w:spacing w:before="30" w:after="30"/>
      </w:pPr>
      <w:r>
        <w:rPr>
          <w:rFonts w:ascii="Arial" w:cs="Arial" w:eastAsia="Arial" w:hAnsi="Arial"/>
          <w:b w:val="false"/>
          <w:bCs w:val="false"/>
          <w:sz w:val="22"/>
          <w:szCs w:val="22"/>
        </w:rPr>
        <w:t xml:space="preserve">Collaborate with doctoral training programs and university partners to support active research projects</w:t>
      </w:r>
    </w:p>
    <w:p>
      <w:pPr>
        <w:pStyle w:val="ListParagraph"/>
        <w:numPr>
          <w:ilvl w:val="0"/>
          <w:numId w:val="2"/>
        </w:numPr>
        <w:spacing w:before="30" w:after="30"/>
      </w:pPr>
      <w:r>
        <w:rPr>
          <w:rFonts w:ascii="Arial" w:cs="Arial" w:eastAsia="Arial" w:hAnsi="Arial"/>
          <w:b w:val="false"/>
          <w:bCs w:val="false"/>
          <w:sz w:val="22"/>
          <w:szCs w:val="22"/>
        </w:rPr>
        <w:t xml:space="preserve">Provide consultation on research design, IRB compliance, and ethical considerations for in-house and affiliated investigators</w:t>
      </w:r>
    </w:p>
    <w:p>
      <w:pPr>
        <w:spacing w:before="60" w:after="0"/>
      </w:pPr>
      <w:r>
        <w:t xml:space="preserve"/>
      </w:r>
    </w:p>
    <w:p>
      <w:pPr>
        <w:tabs>
          <w:tab w:val="right" w:pos="9360"/>
        </w:tabs>
        <w:spacing w:before="60" w:after="20"/>
      </w:pPr>
      <w:r>
        <w:rPr>
          <w:rFonts w:ascii="Arial" w:cs="Arial" w:eastAsia="Arial" w:hAnsi="Arial"/>
          <w:b/>
          <w:bCs/>
          <w:sz w:val="22"/>
          <w:szCs w:val="22"/>
        </w:rPr>
        <w:t xml:space="preserve">Clinical Psychologist  —  Children's Program, Portland, OR</w:t>
      </w:r>
      <w:r>
        <w:rPr>
          <w:rFonts w:ascii="Arial" w:cs="Arial" w:eastAsia="Arial" w:hAnsi="Arial"/>
          <w:color w:val="555555"/>
          <w:sz w:val="22"/>
          <w:szCs w:val="22"/>
        </w:rPr>
        <w:t xml:space="preserve">	2011–Present</w:t>
      </w:r>
    </w:p>
    <w:p>
      <w:pPr>
        <w:pStyle w:val="ListParagraph"/>
        <w:numPr>
          <w:ilvl w:val="0"/>
          <w:numId w:val="2"/>
        </w:numPr>
        <w:spacing w:before="30" w:after="30"/>
      </w:pPr>
      <w:r>
        <w:rPr>
          <w:rFonts w:ascii="Arial" w:cs="Arial" w:eastAsia="Arial" w:hAnsi="Arial"/>
          <w:b w:val="false"/>
          <w:bCs w:val="false"/>
          <w:sz w:val="22"/>
          <w:szCs w:val="22"/>
        </w:rPr>
        <w:t xml:space="preserve">Maintain a high-volume assessment-focused caseload completing 130+ comprehensive psychological evaluations annually, with caseload expanding following recent staff transitions</w:t>
      </w:r>
    </w:p>
    <w:p>
      <w:pPr>
        <w:pStyle w:val="ListParagraph"/>
        <w:numPr>
          <w:ilvl w:val="0"/>
          <w:numId w:val="2"/>
        </w:numPr>
        <w:spacing w:before="30" w:after="30"/>
      </w:pPr>
      <w:r>
        <w:rPr>
          <w:rFonts w:ascii="Arial" w:cs="Arial" w:eastAsia="Arial" w:hAnsi="Arial"/>
          <w:b w:val="false"/>
          <w:bCs w:val="false"/>
          <w:sz w:val="22"/>
          <w:szCs w:val="22"/>
        </w:rPr>
        <w:t xml:space="preserve">Specialize in assessment of children and adolescents (ages 8–21) with expertise in cognitive and intellectual assessment, academic achievement, ADHD and executive functioning, and complex differential diagnosis</w:t>
      </w:r>
    </w:p>
    <w:p>
      <w:pPr>
        <w:pStyle w:val="ListParagraph"/>
        <w:numPr>
          <w:ilvl w:val="0"/>
          <w:numId w:val="2"/>
        </w:numPr>
        <w:spacing w:before="30" w:after="30"/>
      </w:pPr>
      <w:r>
        <w:rPr>
          <w:rFonts w:ascii="Arial" w:cs="Arial" w:eastAsia="Arial" w:hAnsi="Arial"/>
          <w:b w:val="false"/>
          <w:bCs w:val="false"/>
          <w:sz w:val="22"/>
          <w:szCs w:val="22"/>
        </w:rPr>
        <w:t xml:space="preserve">Provide evidence-based psychotherapy with clinical specialization in gender diverse youth and families, and eating and weight disorders</w:t>
      </w:r>
    </w:p>
    <w:p>
      <w:pPr>
        <w:pStyle w:val="ListParagraph"/>
        <w:numPr>
          <w:ilvl w:val="0"/>
          <w:numId w:val="2"/>
        </w:numPr>
        <w:spacing w:before="30" w:after="30"/>
      </w:pPr>
      <w:r>
        <w:rPr>
          <w:rFonts w:ascii="Arial" w:cs="Arial" w:eastAsia="Arial" w:hAnsi="Arial"/>
          <w:b w:val="false"/>
          <w:bCs w:val="false"/>
          <w:sz w:val="22"/>
          <w:szCs w:val="22"/>
        </w:rPr>
        <w:t xml:space="preserve">Provided clinical supervision across all training levels including practicum students, interns, and postdoctoral fellows</w:t>
      </w:r>
    </w:p>
    <w:p>
      <w:pPr>
        <w:spacing w:before="60" w:after="0"/>
      </w:pPr>
      <w:r>
        <w:t xml:space="preserve"/>
      </w:r>
    </w:p>
    <w:p>
      <w:pPr>
        <w:tabs>
          <w:tab w:val="right" w:pos="9360"/>
        </w:tabs>
        <w:spacing w:before="60" w:after="20"/>
      </w:pPr>
      <w:r>
        <w:rPr>
          <w:rFonts w:ascii="Arial" w:cs="Arial" w:eastAsia="Arial" w:hAnsi="Arial"/>
          <w:b/>
          <w:bCs/>
          <w:sz w:val="22"/>
          <w:szCs w:val="22"/>
        </w:rPr>
        <w:t xml:space="preserve">Assistant Professor of Psychology  —  Pacific University, Forest Grove, OR</w:t>
      </w:r>
      <w:r>
        <w:rPr>
          <w:rFonts w:ascii="Arial" w:cs="Arial" w:eastAsia="Arial" w:hAnsi="Arial"/>
          <w:color w:val="555555"/>
          <w:sz w:val="22"/>
          <w:szCs w:val="22"/>
        </w:rPr>
        <w:t xml:space="preserve">	2008–2011</w:t>
      </w:r>
    </w:p>
    <w:p>
      <w:pPr>
        <w:pStyle w:val="ListParagraph"/>
        <w:numPr>
          <w:ilvl w:val="0"/>
          <w:numId w:val="2"/>
        </w:numPr>
        <w:spacing w:before="30" w:after="30"/>
      </w:pPr>
      <w:r>
        <w:rPr>
          <w:rFonts w:ascii="Arial" w:cs="Arial" w:eastAsia="Arial" w:hAnsi="Arial"/>
          <w:b w:val="false"/>
          <w:bCs w:val="false"/>
          <w:sz w:val="22"/>
          <w:szCs w:val="22"/>
        </w:rPr>
        <w:t xml:space="preserve">Associate Director of Clinical Training (2008–2009): Oversaw practicum placements and training curriculum for doctoral psychology students</w:t>
      </w:r>
    </w:p>
    <w:p>
      <w:pPr>
        <w:pStyle w:val="ListParagraph"/>
        <w:numPr>
          <w:ilvl w:val="0"/>
          <w:numId w:val="2"/>
        </w:numPr>
        <w:spacing w:before="30" w:after="30"/>
      </w:pPr>
      <w:r>
        <w:rPr>
          <w:rFonts w:ascii="Arial" w:cs="Arial" w:eastAsia="Arial" w:hAnsi="Arial"/>
          <w:b w:val="false"/>
          <w:bCs w:val="false"/>
          <w:sz w:val="22"/>
          <w:szCs w:val="22"/>
        </w:rPr>
        <w:t xml:space="preserve">Director, Eating and Weight Disorders Research Lab: Supervised graduate student research, mentored dissertations, and secured faculty development grants</w:t>
      </w:r>
    </w:p>
    <w:p>
      <w:pPr>
        <w:pStyle w:val="ListParagraph"/>
        <w:numPr>
          <w:ilvl w:val="0"/>
          <w:numId w:val="2"/>
        </w:numPr>
        <w:spacing w:before="30" w:after="30"/>
      </w:pPr>
      <w:r>
        <w:rPr>
          <w:rFonts w:ascii="Arial" w:cs="Arial" w:eastAsia="Arial" w:hAnsi="Arial"/>
          <w:b w:val="false"/>
          <w:bCs w:val="false"/>
          <w:sz w:val="22"/>
          <w:szCs w:val="22"/>
        </w:rPr>
        <w:t xml:space="preserve">Consultant, Kartini Clinic for Eating Disorders (2008–2011)</w:t>
      </w:r>
    </w:p>
    <w:p>
      <w:pPr>
        <w:spacing w:before="60" w:after="0"/>
      </w:pPr>
      <w:r>
        <w:t xml:space="preserve"/>
      </w:r>
    </w:p>
    <w:p>
      <w:pPr>
        <w:tabs>
          <w:tab w:val="right" w:pos="9360"/>
        </w:tabs>
        <w:spacing w:before="60" w:after="20"/>
      </w:pPr>
      <w:r>
        <w:rPr>
          <w:rFonts w:ascii="Arial" w:cs="Arial" w:eastAsia="Arial" w:hAnsi="Arial"/>
          <w:b/>
          <w:bCs/>
          <w:sz w:val="22"/>
          <w:szCs w:val="22"/>
        </w:rPr>
        <w:t xml:space="preserve">Assistant Professor of Psychology  —  University of Indianapolis</w:t>
      </w:r>
      <w:r>
        <w:rPr>
          <w:rFonts w:ascii="Arial" w:cs="Arial" w:eastAsia="Arial" w:hAnsi="Arial"/>
          <w:color w:val="555555"/>
          <w:sz w:val="22"/>
          <w:szCs w:val="22"/>
        </w:rPr>
        <w:t xml:space="preserve">	2007–2008</w:t>
      </w:r>
    </w:p>
    <w:p>
      <w:pPr>
        <w:pStyle w:val="ListParagraph"/>
        <w:numPr>
          <w:ilvl w:val="0"/>
          <w:numId w:val="2"/>
        </w:numPr>
        <w:spacing w:before="30" w:after="30"/>
      </w:pPr>
      <w:r>
        <w:rPr>
          <w:rFonts w:ascii="Arial" w:cs="Arial" w:eastAsia="Arial" w:hAnsi="Arial"/>
          <w:b w:val="false"/>
          <w:bCs w:val="false"/>
          <w:sz w:val="22"/>
          <w:szCs w:val="22"/>
        </w:rPr>
        <w:t xml:space="preserve">Taught graduate and undergraduate courses in child development, eating disorders, and clinical interventions</w:t>
      </w:r>
    </w:p>
    <w:p>
      <w:pPr>
        <w:pStyle w:val="ListParagraph"/>
        <w:numPr>
          <w:ilvl w:val="0"/>
          <w:numId w:val="2"/>
        </w:numPr>
        <w:spacing w:before="30" w:after="30"/>
      </w:pPr>
      <w:r>
        <w:rPr>
          <w:rFonts w:ascii="Arial" w:cs="Arial" w:eastAsia="Arial" w:hAnsi="Arial"/>
          <w:b w:val="false"/>
          <w:bCs w:val="false"/>
          <w:sz w:val="22"/>
          <w:szCs w:val="22"/>
        </w:rPr>
        <w:t xml:space="preserve">Provided doctoral practicum supervision and dissertation advising</w:t>
      </w:r>
    </w:p>
    <w:p>
      <w:pPr>
        <w:spacing w:before="60" w:after="0"/>
      </w:pPr>
      <w:r>
        <w:t xml:space="preserve"/>
      </w:r>
    </w:p>
    <w:p>
      <w:pPr>
        <w:tabs>
          <w:tab w:val="right" w:pos="9360"/>
        </w:tabs>
        <w:spacing w:before="60" w:after="20"/>
      </w:pPr>
      <w:r>
        <w:rPr>
          <w:rFonts w:ascii="Arial" w:cs="Arial" w:eastAsia="Arial" w:hAnsi="Arial"/>
          <w:b/>
          <w:bCs/>
          <w:sz w:val="22"/>
          <w:szCs w:val="22"/>
        </w:rPr>
        <w:t xml:space="preserve">Postdoctoral Fellow  —  University of Chicago Hospitals, Eating Disorders Program</w:t>
      </w:r>
      <w:r>
        <w:rPr>
          <w:rFonts w:ascii="Arial" w:cs="Arial" w:eastAsia="Arial" w:hAnsi="Arial"/>
          <w:color w:val="555555"/>
          <w:sz w:val="22"/>
          <w:szCs w:val="22"/>
        </w:rPr>
        <w:t xml:space="preserve">	2006–2007</w:t>
      </w:r>
    </w:p>
    <w:p>
      <w:pPr>
        <w:spacing w:before="20" w:after="0"/>
      </w:pPr>
      <w:r>
        <w:t xml:space="preserve"/>
      </w:r>
    </w:p>
    <w:p>
      <w:pPr>
        <w:tabs>
          <w:tab w:val="right" w:pos="9360"/>
        </w:tabs>
        <w:spacing w:before="60" w:after="20"/>
      </w:pPr>
      <w:r>
        <w:rPr>
          <w:rFonts w:ascii="Arial" w:cs="Arial" w:eastAsia="Arial" w:hAnsi="Arial"/>
          <w:b/>
          <w:bCs/>
          <w:sz w:val="22"/>
          <w:szCs w:val="22"/>
        </w:rPr>
        <w:t xml:space="preserve">Clinical Psychology Intern  —  University of Chicago Hospitals</w:t>
      </w:r>
      <w:r>
        <w:rPr>
          <w:rFonts w:ascii="Arial" w:cs="Arial" w:eastAsia="Arial" w:hAnsi="Arial"/>
          <w:color w:val="555555"/>
          <w:sz w:val="22"/>
          <w:szCs w:val="22"/>
        </w:rPr>
        <w:t xml:space="preserve">	2005–2006</w:t>
      </w:r>
    </w:p>
    <w:p>
      <w:pPr>
        <w:spacing w:before="20" w:after="0"/>
      </w:pPr>
      <w:r>
        <w:t xml:space="preserve"/>
      </w:r>
    </w:p>
    <w:p>
      <w:pPr>
        <w:tabs>
          <w:tab w:val="right" w:pos="9360"/>
        </w:tabs>
        <w:spacing w:before="60" w:after="20"/>
      </w:pPr>
      <w:r>
        <w:rPr>
          <w:rFonts w:ascii="Arial" w:cs="Arial" w:eastAsia="Arial" w:hAnsi="Arial"/>
          <w:b/>
          <w:bCs/>
          <w:sz w:val="22"/>
          <w:szCs w:val="22"/>
        </w:rPr>
        <w:t xml:space="preserve">Consultant and Clinician  —  Charis Eating Disorder Center</w:t>
      </w:r>
      <w:r>
        <w:rPr>
          <w:rFonts w:ascii="Arial" w:cs="Arial" w:eastAsia="Arial" w:hAnsi="Arial"/>
          <w:color w:val="555555"/>
          <w:sz w:val="22"/>
          <w:szCs w:val="22"/>
        </w:rPr>
        <w:t xml:space="preserve">	2007–2008</w:t>
      </w:r>
    </w:p>
    <w:p>
      <w:pPr>
        <w:pBdr>
          <w:bottom w:val="single" w:color="2E4057" w:sz="6" w:space="4"/>
        </w:pBdr>
        <w:spacing w:before="240" w:after="60"/>
      </w:pPr>
      <w:r>
        <w:rPr>
          <w:rFonts w:ascii="Arial" w:cs="Arial" w:eastAsia="Arial" w:hAnsi="Arial"/>
          <w:b/>
          <w:bCs/>
          <w:color w:val="2E4057"/>
          <w:sz w:val="26"/>
          <w:szCs w:val="26"/>
        </w:rPr>
        <w:t xml:space="preserve">Research Interests</w:t>
      </w:r>
    </w:p>
    <w:p>
      <w:pPr>
        <w:spacing w:before="40" w:after="0"/>
      </w:pPr>
      <w:r>
        <w:t xml:space="preserve"/>
      </w:r>
    </w:p>
    <w:p>
      <w:pPr>
        <w:spacing w:before="40" w:after="40"/>
      </w:pPr>
      <w:r>
        <w:rPr>
          <w:rFonts w:ascii="Arial" w:cs="Arial" w:eastAsia="Arial" w:hAnsi="Arial"/>
          <w:b w:val="false"/>
          <w:bCs w:val="false"/>
          <w:i w:val="false"/>
          <w:iCs w:val="false"/>
          <w:sz w:val="22"/>
          <w:szCs w:val="22"/>
        </w:rPr>
        <w:t xml:space="preserve">Integration of AI in Psychological Practice  |  Psychological Assessment  |  Gender Diverse Youth  |  Eating and Weight Disorders</w:t>
      </w:r>
    </w:p>
    <w:p>
      <w:pPr>
        <w:pBdr>
          <w:bottom w:val="single" w:color="2E4057" w:sz="6" w:space="4"/>
        </w:pBdr>
        <w:spacing w:before="240" w:after="60"/>
      </w:pPr>
      <w:r>
        <w:rPr>
          <w:rFonts w:ascii="Arial" w:cs="Arial" w:eastAsia="Arial" w:hAnsi="Arial"/>
          <w:b/>
          <w:bCs/>
          <w:color w:val="2E4057"/>
          <w:sz w:val="26"/>
          <w:szCs w:val="26"/>
        </w:rPr>
        <w:t xml:space="preserve">Research Grants, Scholarships &amp; Awards</w:t>
      </w:r>
    </w:p>
    <w:p>
      <w:pPr>
        <w:spacing w:before="40" w:after="0"/>
      </w:pPr>
      <w:r>
        <w:t xml:space="preserve"/>
      </w:r>
    </w:p>
    <w:p>
      <w:pPr>
        <w:spacing w:before="40" w:after="40"/>
      </w:pPr>
      <w:r>
        <w:rPr>
          <w:rFonts w:ascii="Arial" w:cs="Arial" w:eastAsia="Arial" w:hAnsi="Arial"/>
          <w:b/>
          <w:bCs/>
          <w:i w:val="false"/>
          <w:iCs w:val="false"/>
          <w:sz w:val="22"/>
          <w:szCs w:val="22"/>
        </w:rPr>
        <w:t xml:space="preserve">Selected Grants</w:t>
      </w:r>
    </w:p>
    <w:p>
      <w:pPr>
        <w:pStyle w:val="ListParagraph"/>
        <w:numPr>
          <w:ilvl w:val="0"/>
          <w:numId w:val="2"/>
        </w:numPr>
        <w:spacing w:before="30" w:after="30"/>
      </w:pPr>
      <w:r>
        <w:rPr>
          <w:rFonts w:ascii="Arial" w:cs="Arial" w:eastAsia="Arial" w:hAnsi="Arial"/>
          <w:b w:val="false"/>
          <w:bCs w:val="false"/>
          <w:sz w:val="22"/>
          <w:szCs w:val="22"/>
        </w:rPr>
        <w:t xml:space="preserve">Pacific University Faculty Development Grant — "Course, Outcome and Predictors of Eating Disorders in a Child and Adolescent Clinical Population" ($3,000; 2010)</w:t>
      </w:r>
    </w:p>
    <w:p>
      <w:pPr>
        <w:pStyle w:val="ListParagraph"/>
        <w:numPr>
          <w:ilvl w:val="0"/>
          <w:numId w:val="2"/>
        </w:numPr>
        <w:spacing w:before="30" w:after="30"/>
      </w:pPr>
      <w:r>
        <w:rPr>
          <w:rFonts w:ascii="Arial" w:cs="Arial" w:eastAsia="Arial" w:hAnsi="Arial"/>
          <w:b w:val="false"/>
          <w:bCs w:val="false"/>
          <w:sz w:val="22"/>
          <w:szCs w:val="22"/>
        </w:rPr>
        <w:t xml:space="preserve">Pacific University Faculty Development Grant (co-PI) — "Pacific Physical Activity Leaders (PALS) Program" ($3,000; 2010)</w:t>
      </w:r>
    </w:p>
    <w:p>
      <w:pPr>
        <w:pStyle w:val="ListParagraph"/>
        <w:numPr>
          <w:ilvl w:val="0"/>
          <w:numId w:val="2"/>
        </w:numPr>
        <w:spacing w:before="30" w:after="30"/>
      </w:pPr>
      <w:r>
        <w:rPr>
          <w:rFonts w:ascii="Arial" w:cs="Arial" w:eastAsia="Arial" w:hAnsi="Arial"/>
          <w:b w:val="false"/>
          <w:bCs w:val="false"/>
          <w:sz w:val="22"/>
          <w:szCs w:val="22"/>
        </w:rPr>
        <w:t xml:space="preserve">University at Albany Career Development Grant — Academy of Eating Disorders International Conference ($750)</w:t>
      </w:r>
    </w:p>
    <w:p>
      <w:pPr>
        <w:pStyle w:val="ListParagraph"/>
        <w:numPr>
          <w:ilvl w:val="0"/>
          <w:numId w:val="2"/>
        </w:numPr>
        <w:spacing w:before="30" w:after="30"/>
      </w:pPr>
      <w:r>
        <w:rPr>
          <w:rFonts w:ascii="Arial" w:cs="Arial" w:eastAsia="Arial" w:hAnsi="Arial"/>
          <w:b w:val="false"/>
          <w:bCs w:val="false"/>
          <w:sz w:val="22"/>
          <w:szCs w:val="22"/>
        </w:rPr>
        <w:t xml:space="preserve">Psychology Initiative Grant — "The Impact of the Environment on Weight and Physical Activity in Adolescent Females" ($350; 2004)</w:t>
      </w:r>
    </w:p>
    <w:p>
      <w:pPr>
        <w:pStyle w:val="ListParagraph"/>
        <w:numPr>
          <w:ilvl w:val="0"/>
          <w:numId w:val="2"/>
        </w:numPr>
        <w:spacing w:before="30" w:after="30"/>
      </w:pPr>
      <w:r>
        <w:rPr>
          <w:rFonts w:ascii="Arial" w:cs="Arial" w:eastAsia="Arial" w:hAnsi="Arial"/>
          <w:b w:val="false"/>
          <w:bCs w:val="false"/>
          <w:sz w:val="22"/>
          <w:szCs w:val="22"/>
        </w:rPr>
        <w:t xml:space="preserve">Benevolent Association Research Grant — "The Impact of the Environment on Weight and Physical Activity in Adolescent Females" ($1,000; 2005)</w:t>
      </w:r>
    </w:p>
    <w:p>
      <w:pPr>
        <w:spacing w:before="60" w:after="0"/>
      </w:pPr>
      <w:r>
        <w:t xml:space="preserve"/>
      </w:r>
    </w:p>
    <w:p>
      <w:pPr>
        <w:spacing w:before="40" w:after="40"/>
      </w:pPr>
      <w:r>
        <w:rPr>
          <w:rFonts w:ascii="Arial" w:cs="Arial" w:eastAsia="Arial" w:hAnsi="Arial"/>
          <w:b/>
          <w:bCs/>
          <w:i w:val="false"/>
          <w:iCs w:val="false"/>
          <w:sz w:val="22"/>
          <w:szCs w:val="22"/>
        </w:rPr>
        <w:t xml:space="preserve">Fellowships &amp; Awards</w:t>
      </w:r>
    </w:p>
    <w:p>
      <w:pPr>
        <w:pStyle w:val="ListParagraph"/>
        <w:numPr>
          <w:ilvl w:val="0"/>
          <w:numId w:val="2"/>
        </w:numPr>
        <w:spacing w:before="30" w:after="30"/>
      </w:pPr>
      <w:r>
        <w:rPr>
          <w:rFonts w:ascii="Arial" w:cs="Arial" w:eastAsia="Arial" w:hAnsi="Arial"/>
          <w:b w:val="false"/>
          <w:bCs w:val="false"/>
          <w:sz w:val="22"/>
          <w:szCs w:val="22"/>
        </w:rPr>
        <w:t xml:space="preserve">Berglund Fellowship for Internet Research — "An Online-Based Collaborative Repository to Enhance Interdisciplinary Collaboration" ($3,500; 2009)</w:t>
      </w:r>
    </w:p>
    <w:p>
      <w:pPr>
        <w:pStyle w:val="ListParagraph"/>
        <w:numPr>
          <w:ilvl w:val="0"/>
          <w:numId w:val="2"/>
        </w:numPr>
        <w:spacing w:before="30" w:after="30"/>
      </w:pPr>
      <w:r>
        <w:rPr>
          <w:rFonts w:ascii="Arial" w:cs="Arial" w:eastAsia="Arial" w:hAnsi="Arial"/>
          <w:b w:val="false"/>
          <w:bCs w:val="false"/>
          <w:sz w:val="22"/>
          <w:szCs w:val="22"/>
        </w:rPr>
        <w:t xml:space="preserve">Academy of Eating Disorders Early Career Investigator Fellowship ($1,500; 2009)</w:t>
      </w:r>
    </w:p>
    <w:p>
      <w:pPr>
        <w:pStyle w:val="ListParagraph"/>
        <w:numPr>
          <w:ilvl w:val="0"/>
          <w:numId w:val="2"/>
        </w:numPr>
        <w:spacing w:before="30" w:after="30"/>
      </w:pPr>
      <w:r>
        <w:rPr>
          <w:rFonts w:ascii="Arial" w:cs="Arial" w:eastAsia="Arial" w:hAnsi="Arial"/>
          <w:b w:val="false"/>
          <w:bCs w:val="false"/>
          <w:sz w:val="22"/>
          <w:szCs w:val="22"/>
        </w:rPr>
        <w:t xml:space="preserve">Diversity Dissertation Fellowship, Northeastern University ($30,000; 2005–2006) — Declined due to commitment to APA-approved internship</w:t>
      </w:r>
    </w:p>
    <w:p>
      <w:pPr>
        <w:pBdr>
          <w:bottom w:val="single" w:color="2E4057" w:sz="6" w:space="4"/>
        </w:pBdr>
        <w:spacing w:before="240" w:after="60"/>
      </w:pPr>
      <w:r>
        <w:rPr>
          <w:rFonts w:ascii="Arial" w:cs="Arial" w:eastAsia="Arial" w:hAnsi="Arial"/>
          <w:b/>
          <w:bCs/>
          <w:color w:val="2E4057"/>
          <w:sz w:val="26"/>
          <w:szCs w:val="26"/>
        </w:rPr>
        <w:t xml:space="preserve">Publications</w:t>
      </w:r>
    </w:p>
    <w:p>
      <w:pPr>
        <w:spacing w:before="40" w:after="0"/>
      </w:pPr>
      <w:r>
        <w:t xml:space="preserve"/>
      </w:r>
    </w:p>
    <w:p>
      <w:pPr>
        <w:spacing w:before="40" w:after="40"/>
      </w:pPr>
      <w:r>
        <w:rPr>
          <w:rFonts w:ascii="Arial" w:cs="Arial" w:eastAsia="Arial" w:hAnsi="Arial"/>
          <w:b/>
          <w:bCs/>
          <w:i w:val="false"/>
          <w:iCs w:val="false"/>
          <w:sz w:val="22"/>
          <w:szCs w:val="22"/>
        </w:rPr>
        <w:t xml:space="preserve">Book Chapter</w:t>
      </w:r>
    </w:p>
    <w:p>
      <w:pPr>
        <w:spacing w:before="60" w:after="40"/>
        <w:ind w:left="360" w:hanging="360"/>
      </w:pPr>
      <w:r>
        <w:rPr>
          <w:rFonts w:ascii="Arial" w:cs="Arial" w:eastAsia="Arial" w:hAnsi="Arial"/>
          <w:sz w:val="21"/>
          <w:szCs w:val="21"/>
        </w:rPr>
        <w:t xml:space="preserve">Munoz, D. (2008). Media influences and the impact on disordered eating. In J. Fuchs (Ed.), Eating Disorders in Adult Women. Nova Publishing.</w:t>
      </w:r>
    </w:p>
    <w:p>
      <w:pPr>
        <w:spacing w:before="60" w:after="0"/>
      </w:pPr>
      <w:r>
        <w:t xml:space="preserve"/>
      </w:r>
    </w:p>
    <w:p>
      <w:pPr>
        <w:spacing w:before="40" w:after="40"/>
      </w:pPr>
      <w:r>
        <w:rPr>
          <w:rFonts w:ascii="Arial" w:cs="Arial" w:eastAsia="Arial" w:hAnsi="Arial"/>
          <w:b/>
          <w:bCs/>
          <w:i w:val="false"/>
          <w:iCs w:val="false"/>
          <w:sz w:val="22"/>
          <w:szCs w:val="22"/>
        </w:rPr>
        <w:t xml:space="preserve">Peer-Reviewed Journal Articles</w:t>
      </w:r>
    </w:p>
    <w:p>
      <w:pPr>
        <w:spacing w:before="60" w:after="40"/>
        <w:ind w:left="360" w:hanging="360"/>
      </w:pPr>
      <w:r>
        <w:rPr>
          <w:rFonts w:ascii="Arial" w:cs="Arial" w:eastAsia="Arial" w:hAnsi="Arial"/>
          <w:sz w:val="21"/>
          <w:szCs w:val="21"/>
        </w:rPr>
        <w:t xml:space="preserve">O'Toole, J., DeSocio, J., Munoz, D., &amp; Crosby, R. (2010). Description, course and outcome of anorexia nervosa in a clinical sample of children. Monographs of the American Psychiatric Association.</w:t>
      </w:r>
    </w:p>
    <w:p>
      <w:pPr>
        <w:spacing w:before="60" w:after="40"/>
        <w:ind w:left="360" w:hanging="360"/>
      </w:pPr>
      <w:r>
        <w:rPr>
          <w:rFonts w:ascii="Arial" w:cs="Arial" w:eastAsia="Arial" w:hAnsi="Arial"/>
          <w:sz w:val="21"/>
          <w:szCs w:val="21"/>
        </w:rPr>
        <w:t xml:space="preserve">Munoz, D., Chen, E., Roherig, M., Sanchez-Johnsen, L., &amp; Fischer, S. (2010). Changes in desired body shape in weight-loss surgery patients. Eating Disorders: Journal of Treatment and Prevention, 18(4), 347–354.</w:t>
      </w:r>
    </w:p>
    <w:p>
      <w:pPr>
        <w:spacing w:before="60" w:after="40"/>
        <w:ind w:left="360" w:hanging="360"/>
      </w:pPr>
      <w:r>
        <w:rPr>
          <w:rFonts w:ascii="Arial" w:cs="Arial" w:eastAsia="Arial" w:hAnsi="Arial"/>
          <w:sz w:val="21"/>
          <w:szCs w:val="21"/>
        </w:rPr>
        <w:t xml:space="preserve">Gilman, I., &amp; Munoz, D. (2010). An initial evaluation of an online repository to facilitate interdisciplinary research collaboration. Interface, 10(4).</w:t>
      </w:r>
    </w:p>
    <w:p>
      <w:pPr>
        <w:spacing w:before="60" w:after="40"/>
        <w:ind w:left="360" w:hanging="360"/>
      </w:pPr>
      <w:r>
        <w:rPr>
          <w:rFonts w:ascii="Arial" w:cs="Arial" w:eastAsia="Arial" w:hAnsi="Arial"/>
          <w:sz w:val="21"/>
          <w:szCs w:val="21"/>
        </w:rPr>
        <w:t xml:space="preserve">Munoz, D., Lal, M., Chen, E., Mansour, M., Fischer, S., Roherig, M., Sanchez-Johnsen, L., Dymek-Valentine, M., Alverdy, J., &amp; le Grange, D. (2008). Why patients seek bariatric surgery: A qualitative and quantitative analysis. Obesity Surgery, 17, 1487–1491.</w:t>
      </w:r>
    </w:p>
    <w:p>
      <w:pPr>
        <w:spacing w:before="60" w:after="40"/>
        <w:ind w:left="360" w:hanging="360"/>
      </w:pPr>
      <w:r>
        <w:rPr>
          <w:rFonts w:ascii="Arial" w:cs="Arial" w:eastAsia="Arial" w:hAnsi="Arial"/>
          <w:sz w:val="21"/>
          <w:szCs w:val="21"/>
        </w:rPr>
        <w:t xml:space="preserve">Munoz, D., Israel, A., &amp; Anderson, D. (2007). The relationship of family stability and family mealtime frequency with bulimia symptomatology. Eating Disorders, 15(3), 261–271.</w:t>
      </w:r>
    </w:p>
    <w:p>
      <w:pPr>
        <w:spacing w:before="60" w:after="40"/>
        <w:ind w:left="360" w:hanging="360"/>
      </w:pPr>
      <w:r>
        <w:rPr>
          <w:rFonts w:ascii="Arial" w:cs="Arial" w:eastAsia="Arial" w:hAnsi="Arial"/>
          <w:sz w:val="21"/>
          <w:szCs w:val="21"/>
        </w:rPr>
        <w:t xml:space="preserve">Munoz, D., Chen, E., Fischer, S., Roerhig, M., Alverdy, J., Dymek, M., &amp; le Grange, D. (2007). Considerations for the use of the Beck Depression Inventory in weight-loss surgery seeking patients. Obesity Surgery, 17, 1097–1101.</w:t>
      </w:r>
    </w:p>
    <w:p>
      <w:pPr>
        <w:spacing w:before="60" w:after="40"/>
        <w:ind w:left="360" w:hanging="360"/>
      </w:pPr>
      <w:r>
        <w:rPr>
          <w:rFonts w:ascii="Arial" w:cs="Arial" w:eastAsia="Arial" w:hAnsi="Arial"/>
          <w:sz w:val="21"/>
          <w:szCs w:val="21"/>
        </w:rPr>
        <w:t xml:space="preserve">Chen, E., Riccardi, L., Munoz, D., Fischer, S., Ketterman, S., Roherig, M., Dymek, M., &amp; Le Grange, D. (2007). Depressed mood in Class III obesity predicted by weight-related stigma. Obesity Surgery, 17(5), 673–675.</w:t>
      </w:r>
    </w:p>
    <w:p>
      <w:pPr>
        <w:spacing w:before="60" w:after="40"/>
        <w:ind w:left="360" w:hanging="360"/>
      </w:pPr>
      <w:r>
        <w:rPr>
          <w:rFonts w:ascii="Arial" w:cs="Arial" w:eastAsia="Arial" w:hAnsi="Arial"/>
          <w:sz w:val="21"/>
          <w:szCs w:val="21"/>
        </w:rPr>
        <w:t xml:space="preserve">Fischer, S., Chen, E. Y., Katterman, S., Roehrig, M., Bocchieri-Ricciardi, L., Munoz, D., Alverdy, J. C., Dymek-Valentine, M., &amp; le Grange, D. (2007). Emotional eating in a morbidly obese bariatric surgery seeking population. Obesity Surgery, 17, 778–784.</w:t>
      </w:r>
    </w:p>
    <w:p>
      <w:pPr>
        <w:spacing w:before="60" w:after="40"/>
        <w:ind w:left="360" w:hanging="360"/>
      </w:pPr>
      <w:r>
        <w:rPr>
          <w:rFonts w:ascii="Arial" w:cs="Arial" w:eastAsia="Arial" w:hAnsi="Arial"/>
          <w:sz w:val="21"/>
          <w:szCs w:val="21"/>
        </w:rPr>
        <w:t xml:space="preserve">Bocchieri-Ricciardi, L., Chen, E., Munoz, D., Fischer, S., Dymek-Valentine, M., Alverdy, J., &amp; le Grange, D. (2006). Pre-surgery binge eating status: Effect on eating behavior and weight outcome after gastric bypass. Obesity Surgery, 16(9), 1198–1204.</w:t>
      </w:r>
    </w:p>
    <w:p>
      <w:pPr>
        <w:pBdr>
          <w:bottom w:val="single" w:color="2E4057" w:sz="6" w:space="4"/>
        </w:pBdr>
        <w:spacing w:before="240" w:after="60"/>
      </w:pPr>
      <w:r>
        <w:rPr>
          <w:rFonts w:ascii="Arial" w:cs="Arial" w:eastAsia="Arial" w:hAnsi="Arial"/>
          <w:b/>
          <w:bCs/>
          <w:color w:val="2E4057"/>
          <w:sz w:val="26"/>
          <w:szCs w:val="26"/>
        </w:rPr>
        <w:t xml:space="preserve">Selected Conference Presentations</w:t>
      </w:r>
    </w:p>
    <w:p>
      <w:pPr>
        <w:spacing w:before="40" w:after="0"/>
      </w:pPr>
      <w:r>
        <w:t xml:space="preserve"/>
      </w:r>
    </w:p>
    <w:p>
      <w:pPr>
        <w:spacing w:before="40" w:after="40"/>
      </w:pPr>
      <w:r>
        <w:rPr>
          <w:rFonts w:ascii="Arial" w:cs="Arial" w:eastAsia="Arial" w:hAnsi="Arial"/>
          <w:b/>
          <w:bCs/>
          <w:i/>
          <w:iCs/>
          <w:sz w:val="22"/>
          <w:szCs w:val="22"/>
        </w:rPr>
        <w:t xml:space="preserve">First-Author &amp; Selected Presentations (2004–2011)</w:t>
      </w:r>
    </w:p>
    <w:p>
      <w:pPr>
        <w:spacing w:before="60" w:after="40"/>
        <w:ind w:left="360" w:hanging="360"/>
      </w:pPr>
      <w:r>
        <w:rPr>
          <w:rFonts w:ascii="Arial" w:cs="Arial" w:eastAsia="Arial" w:hAnsi="Arial"/>
          <w:sz w:val="21"/>
          <w:szCs w:val="21"/>
        </w:rPr>
        <w:t xml:space="preserve">Munoz, D., DeSocio, J., O'Toole, J., &amp; Crosby, R. (2010). Eating disorders in children and adolescents: Diagnostic differences and clinical challenges. Academy of Eating Disorders International Conference, Salzburg, Austria.</w:t>
      </w:r>
    </w:p>
    <w:p>
      <w:pPr>
        <w:spacing w:before="60" w:after="40"/>
        <w:ind w:left="360" w:hanging="360"/>
      </w:pPr>
      <w:r>
        <w:rPr>
          <w:rFonts w:ascii="Arial" w:cs="Arial" w:eastAsia="Arial" w:hAnsi="Arial"/>
          <w:sz w:val="21"/>
          <w:szCs w:val="21"/>
        </w:rPr>
        <w:t xml:space="preserve">Munoz, D., DeSocio, J., Crosby, R., &amp; O'Toole, J. (2009). Description, course and outcome of anorexia nervosa in a clinical sample of children. Invited presentation, APA DSM-V Workgroup on Eating Disorders, Washington, DC.</w:t>
      </w:r>
    </w:p>
    <w:p>
      <w:pPr>
        <w:spacing w:before="60" w:after="40"/>
        <w:ind w:left="360" w:hanging="360"/>
      </w:pPr>
      <w:r>
        <w:rPr>
          <w:rFonts w:ascii="Arial" w:cs="Arial" w:eastAsia="Arial" w:hAnsi="Arial"/>
          <w:sz w:val="21"/>
          <w:szCs w:val="21"/>
        </w:rPr>
        <w:t xml:space="preserve">Munoz, D., Lal, M., Chen, E., et al. (2008). Reported reasons for seeking weight-loss surgery: A qualitative and quantitative analysis. Academy of Eating Disorders International Conference, Seattle, WA.</w:t>
      </w:r>
    </w:p>
    <w:p>
      <w:pPr>
        <w:spacing w:before="60" w:after="40"/>
        <w:ind w:left="360" w:hanging="360"/>
      </w:pPr>
      <w:r>
        <w:rPr>
          <w:rFonts w:ascii="Arial" w:cs="Arial" w:eastAsia="Arial" w:hAnsi="Arial"/>
          <w:sz w:val="21"/>
          <w:szCs w:val="21"/>
        </w:rPr>
        <w:t xml:space="preserve">Munoz, D., Chen, E., Riccardi, L., Fischer, S., le Grange, D., &amp; Alverdy, J. (2006). Changes in ideal body weight before and after bariatric surgery. Academy of Eating Disorders International Conference, Barcelona.</w:t>
      </w:r>
    </w:p>
    <w:p>
      <w:pPr>
        <w:spacing w:before="60" w:after="40"/>
        <w:ind w:left="360" w:hanging="360"/>
      </w:pPr>
      <w:r>
        <w:rPr>
          <w:rFonts w:ascii="Arial" w:cs="Arial" w:eastAsia="Arial" w:hAnsi="Arial"/>
          <w:sz w:val="21"/>
          <w:szCs w:val="21"/>
        </w:rPr>
        <w:t xml:space="preserve">Munoz, D., Israel, A.C., &amp; Anderson, D.A. (2005). The relationship between family stability and bulimia symptomatology. Academy of Eating Disorders International Congress, Montreal.</w:t>
      </w:r>
    </w:p>
    <w:p>
      <w:pPr>
        <w:spacing w:before="60" w:after="40"/>
        <w:ind w:left="360" w:hanging="360"/>
      </w:pPr>
      <w:r>
        <w:rPr>
          <w:rFonts w:ascii="Arial" w:cs="Arial" w:eastAsia="Arial" w:hAnsi="Arial"/>
          <w:sz w:val="21"/>
          <w:szCs w:val="21"/>
        </w:rPr>
        <w:t xml:space="preserve">Munoz, D., Israel, A.C., &amp; Anderson, D.A. (2003). Initial evaluation of the psychometrics of two eating disorder instruments in males. Association for the Advancement of Behavior Therapy, Boston.</w:t>
      </w:r>
    </w:p>
    <w:p>
      <w:pPr>
        <w:spacing w:before="40" w:after="40"/>
      </w:pPr>
      <w:r>
        <w:rPr>
          <w:rFonts w:ascii="Arial" w:cs="Arial" w:eastAsia="Arial" w:hAnsi="Arial"/>
          <w:b w:val="false"/>
          <w:bCs w:val="false"/>
          <w:i/>
          <w:iCs/>
          <w:sz w:val="22"/>
          <w:szCs w:val="22"/>
        </w:rPr>
        <w:t xml:space="preserve">Full conference presentation list available upon request.</w:t>
      </w:r>
    </w:p>
    <w:p>
      <w:pPr>
        <w:pBdr>
          <w:bottom w:val="single" w:color="2E4057" w:sz="6" w:space="4"/>
        </w:pBdr>
        <w:spacing w:before="240" w:after="60"/>
      </w:pPr>
      <w:r>
        <w:rPr>
          <w:rFonts w:ascii="Arial" w:cs="Arial" w:eastAsia="Arial" w:hAnsi="Arial"/>
          <w:b/>
          <w:bCs/>
          <w:color w:val="2E4057"/>
          <w:sz w:val="26"/>
          <w:szCs w:val="26"/>
        </w:rPr>
        <w:t xml:space="preserve">Selected Invited Presentations</w:t>
      </w:r>
    </w:p>
    <w:p>
      <w:pPr>
        <w:spacing w:before="40" w:after="0"/>
      </w:pPr>
      <w:r>
        <w:t xml:space="preserve"/>
      </w:r>
    </w:p>
    <w:p>
      <w:pPr>
        <w:spacing w:before="60" w:after="40"/>
        <w:ind w:left="360" w:hanging="360"/>
      </w:pPr>
      <w:r>
        <w:rPr>
          <w:rFonts w:ascii="Arial" w:cs="Arial" w:eastAsia="Arial" w:hAnsi="Arial"/>
          <w:sz w:val="21"/>
          <w:szCs w:val="21"/>
        </w:rPr>
        <w:t xml:space="preserve">Munoz, D. (2010). Assessment and treatment of childhood eating and weight disorders. Invited workshop, Northwest Institute for Study of Addictions, Portland, OR.</w:t>
      </w:r>
    </w:p>
    <w:p>
      <w:pPr>
        <w:spacing w:before="60" w:after="40"/>
        <w:ind w:left="360" w:hanging="360"/>
      </w:pPr>
      <w:r>
        <w:rPr>
          <w:rFonts w:ascii="Arial" w:cs="Arial" w:eastAsia="Arial" w:hAnsi="Arial"/>
          <w:sz w:val="21"/>
          <w:szCs w:val="21"/>
        </w:rPr>
        <w:t xml:space="preserve">Munoz, D., DeSocio, J., Crosby, R., &amp; O'Toole, J. (2009). Description, course and outcome of anorexia nervosa in a clinical sample of children. Invited presentation, APA DSM-V Workgroup on Eating Disorders, Washington, DC.</w:t>
      </w:r>
    </w:p>
    <w:p>
      <w:pPr>
        <w:spacing w:before="60" w:after="40"/>
        <w:ind w:left="360" w:hanging="360"/>
      </w:pPr>
      <w:r>
        <w:rPr>
          <w:rFonts w:ascii="Arial" w:cs="Arial" w:eastAsia="Arial" w:hAnsi="Arial"/>
          <w:sz w:val="21"/>
          <w:szCs w:val="21"/>
        </w:rPr>
        <w:t xml:space="preserve">Fogel, S., &amp; Munoz, D. (2010). Rolling out a community-based intervention for obesity through interdisciplinary efforts. Gay and Lesbian Medical Association National Conference, San Diego, CA.</w:t>
      </w:r>
    </w:p>
    <w:p>
      <w:pPr>
        <w:pBdr>
          <w:bottom w:val="single" w:color="2E4057" w:sz="6" w:space="4"/>
        </w:pBdr>
        <w:spacing w:before="240" w:after="60"/>
      </w:pPr>
      <w:r>
        <w:rPr>
          <w:rFonts w:ascii="Arial" w:cs="Arial" w:eastAsia="Arial" w:hAnsi="Arial"/>
          <w:b/>
          <w:bCs/>
          <w:color w:val="2E4057"/>
          <w:sz w:val="26"/>
          <w:szCs w:val="26"/>
        </w:rPr>
        <w:t xml:space="preserve">Teaching Experience</w:t>
      </w:r>
    </w:p>
    <w:p>
      <w:pPr>
        <w:spacing w:before="40" w:after="0"/>
      </w:pPr>
      <w:r>
        <w:t xml:space="preserve"/>
      </w:r>
    </w:p>
    <w:p>
      <w:pPr>
        <w:pStyle w:val="ListParagraph"/>
        <w:numPr>
          <w:ilvl w:val="0"/>
          <w:numId w:val="2"/>
        </w:numPr>
        <w:spacing w:before="30" w:after="30"/>
      </w:pPr>
      <w:r>
        <w:rPr>
          <w:rFonts w:ascii="Arial" w:cs="Arial" w:eastAsia="Arial" w:hAnsi="Arial"/>
          <w:b w:val="false"/>
          <w:bCs w:val="false"/>
          <w:sz w:val="22"/>
          <w:szCs w:val="22"/>
        </w:rPr>
        <w:t xml:space="preserve">Pacific University School of Professional Psychology — Graduate courses in child psychopathology, diagnosis and treatment planning, child treatment, eating and weight disorders, LGBT issues in psychology, and history of psychology (2008–2011)</w:t>
      </w:r>
    </w:p>
    <w:p>
      <w:pPr>
        <w:pStyle w:val="ListParagraph"/>
        <w:numPr>
          <w:ilvl w:val="0"/>
          <w:numId w:val="2"/>
        </w:numPr>
        <w:spacing w:before="30" w:after="30"/>
      </w:pPr>
      <w:r>
        <w:rPr>
          <w:rFonts w:ascii="Arial" w:cs="Arial" w:eastAsia="Arial" w:hAnsi="Arial"/>
          <w:b w:val="false"/>
          <w:bCs w:val="false"/>
          <w:sz w:val="22"/>
          <w:szCs w:val="22"/>
        </w:rPr>
        <w:t xml:space="preserve">Lewis &amp; Clark College — Research Methods in Counseling (2010)</w:t>
      </w:r>
    </w:p>
    <w:p>
      <w:pPr>
        <w:pStyle w:val="ListParagraph"/>
        <w:numPr>
          <w:ilvl w:val="0"/>
          <w:numId w:val="2"/>
        </w:numPr>
        <w:spacing w:before="30" w:after="30"/>
      </w:pPr>
      <w:r>
        <w:rPr>
          <w:rFonts w:ascii="Arial" w:cs="Arial" w:eastAsia="Arial" w:hAnsi="Arial"/>
          <w:b w:val="false"/>
          <w:bCs w:val="false"/>
          <w:sz w:val="22"/>
          <w:szCs w:val="22"/>
        </w:rPr>
        <w:t xml:space="preserve">Northcentral University — Graduate research methods sequence (2009–2010)</w:t>
      </w:r>
    </w:p>
    <w:p>
      <w:pPr>
        <w:pStyle w:val="ListParagraph"/>
        <w:numPr>
          <w:ilvl w:val="0"/>
          <w:numId w:val="2"/>
        </w:numPr>
        <w:spacing w:before="30" w:after="30"/>
      </w:pPr>
      <w:r>
        <w:rPr>
          <w:rFonts w:ascii="Arial" w:cs="Arial" w:eastAsia="Arial" w:hAnsi="Arial"/>
          <w:b w:val="false"/>
          <w:bCs w:val="false"/>
          <w:sz w:val="22"/>
          <w:szCs w:val="22"/>
        </w:rPr>
        <w:t xml:space="preserve">University of Indianapolis — Graduate and undergraduate courses in child development, eating disorders, couples and family intervention, and clinical practicum seminar (2007–2008)</w:t>
      </w:r>
    </w:p>
    <w:p>
      <w:pPr>
        <w:pStyle w:val="ListParagraph"/>
        <w:numPr>
          <w:ilvl w:val="0"/>
          <w:numId w:val="2"/>
        </w:numPr>
        <w:spacing w:before="30" w:after="30"/>
      </w:pPr>
      <w:r>
        <w:rPr>
          <w:rFonts w:ascii="Arial" w:cs="Arial" w:eastAsia="Arial" w:hAnsi="Arial"/>
          <w:b w:val="false"/>
          <w:bCs w:val="false"/>
          <w:sz w:val="22"/>
          <w:szCs w:val="22"/>
        </w:rPr>
        <w:t xml:space="preserve">University at Albany, SUNY — Personality Psychology, Child Behavior Disorders, Introduction to Psychology (2002–2005)</w:t>
      </w:r>
    </w:p>
    <w:p>
      <w:pPr>
        <w:pBdr>
          <w:bottom w:val="single" w:color="2E4057" w:sz="6" w:space="4"/>
        </w:pBdr>
        <w:spacing w:before="240" w:after="60"/>
      </w:pPr>
      <w:r>
        <w:rPr>
          <w:rFonts w:ascii="Arial" w:cs="Arial" w:eastAsia="Arial" w:hAnsi="Arial"/>
          <w:b/>
          <w:bCs/>
          <w:color w:val="2E4057"/>
          <w:sz w:val="26"/>
          <w:szCs w:val="26"/>
        </w:rPr>
        <w:t xml:space="preserve">Editorial &amp; Peer Review Service</w:t>
      </w:r>
    </w:p>
    <w:p>
      <w:pPr>
        <w:spacing w:before="40" w:after="0"/>
      </w:pPr>
      <w:r>
        <w:t xml:space="preserve"/>
      </w:r>
    </w:p>
    <w:p>
      <w:pPr>
        <w:spacing w:before="40" w:after="40"/>
      </w:pPr>
      <w:r>
        <w:rPr>
          <w:rFonts w:ascii="Arial" w:cs="Arial" w:eastAsia="Arial" w:hAnsi="Arial"/>
          <w:b/>
          <w:bCs/>
          <w:i w:val="false"/>
          <w:iCs w:val="false"/>
          <w:sz w:val="22"/>
          <w:szCs w:val="22"/>
        </w:rPr>
        <w:t xml:space="preserve">Editorial Board Positions</w:t>
      </w:r>
    </w:p>
    <w:p>
      <w:pPr>
        <w:pStyle w:val="ListParagraph"/>
        <w:numPr>
          <w:ilvl w:val="0"/>
          <w:numId w:val="2"/>
        </w:numPr>
        <w:spacing w:before="30" w:after="30"/>
      </w:pPr>
      <w:r>
        <w:rPr>
          <w:rFonts w:ascii="Arial" w:cs="Arial" w:eastAsia="Arial" w:hAnsi="Arial"/>
          <w:b w:val="false"/>
          <w:bCs w:val="false"/>
          <w:sz w:val="22"/>
          <w:szCs w:val="22"/>
        </w:rPr>
        <w:t xml:space="preserve">Obesity Surgery (2010–2015)</w:t>
      </w:r>
    </w:p>
    <w:p>
      <w:pPr>
        <w:pStyle w:val="ListParagraph"/>
        <w:numPr>
          <w:ilvl w:val="0"/>
          <w:numId w:val="2"/>
        </w:numPr>
        <w:spacing w:before="30" w:after="30"/>
      </w:pPr>
      <w:r>
        <w:rPr>
          <w:rFonts w:ascii="Arial" w:cs="Arial" w:eastAsia="Arial" w:hAnsi="Arial"/>
          <w:b w:val="false"/>
          <w:bCs w:val="false"/>
          <w:sz w:val="22"/>
          <w:szCs w:val="22"/>
        </w:rPr>
        <w:t xml:space="preserve">Behavior Modification (2010–2011)</w:t>
      </w:r>
    </w:p>
    <w:p>
      <w:pPr>
        <w:pStyle w:val="ListParagraph"/>
        <w:numPr>
          <w:ilvl w:val="0"/>
          <w:numId w:val="2"/>
        </w:numPr>
        <w:spacing w:before="30" w:after="30"/>
      </w:pPr>
      <w:r>
        <w:rPr>
          <w:rFonts w:ascii="Arial" w:cs="Arial" w:eastAsia="Arial" w:hAnsi="Arial"/>
          <w:b w:val="false"/>
          <w:bCs w:val="false"/>
          <w:sz w:val="22"/>
          <w:szCs w:val="22"/>
        </w:rPr>
        <w:t xml:space="preserve">Health and Interprofessional Practice, Associate Editor (2011)</w:t>
      </w:r>
    </w:p>
    <w:p>
      <w:pPr>
        <w:spacing w:before="60" w:after="0"/>
      </w:pPr>
      <w:r>
        <w:t xml:space="preserve"/>
      </w:r>
    </w:p>
    <w:p>
      <w:pPr>
        <w:spacing w:before="40" w:after="40"/>
      </w:pPr>
      <w:r>
        <w:rPr>
          <w:rFonts w:ascii="Arial" w:cs="Arial" w:eastAsia="Arial" w:hAnsi="Arial"/>
          <w:b/>
          <w:bCs/>
          <w:i w:val="false"/>
          <w:iCs w:val="false"/>
          <w:sz w:val="22"/>
          <w:szCs w:val="22"/>
        </w:rPr>
        <w:t xml:space="preserve">Ad Hoc Reviewer</w:t>
      </w:r>
    </w:p>
    <w:p>
      <w:pPr>
        <w:spacing w:before="40" w:after="40"/>
      </w:pPr>
      <w:r>
        <w:rPr>
          <w:rFonts w:ascii="Arial" w:cs="Arial" w:eastAsia="Arial" w:hAnsi="Arial"/>
          <w:b w:val="false"/>
          <w:bCs w:val="false"/>
          <w:i w:val="false"/>
          <w:iCs w:val="false"/>
          <w:sz w:val="22"/>
          <w:szCs w:val="22"/>
        </w:rPr>
        <w:t xml:space="preserve">Journal of Clinical Psychology  |  International Journal of Eating Disorders  |  Obesity  |  Obesity Surgery  |  Depression and Anxiety  |  Clinical Case Studies  |  Clinical Psychology Review</w:t>
      </w:r>
    </w:p>
    <w:p>
      <w:pPr>
        <w:pBdr>
          <w:bottom w:val="single" w:color="2E4057" w:sz="6" w:space="4"/>
        </w:pBdr>
        <w:spacing w:before="240" w:after="60"/>
      </w:pPr>
      <w:r>
        <w:rPr>
          <w:rFonts w:ascii="Arial" w:cs="Arial" w:eastAsia="Arial" w:hAnsi="Arial"/>
          <w:b/>
          <w:bCs/>
          <w:color w:val="2E4057"/>
          <w:sz w:val="26"/>
          <w:szCs w:val="26"/>
        </w:rPr>
        <w:t xml:space="preserve">Professional &amp; Community Service</w:t>
      </w:r>
    </w:p>
    <w:p>
      <w:pPr>
        <w:spacing w:before="40" w:after="0"/>
      </w:pPr>
      <w:r>
        <w:t xml:space="preserve"/>
      </w:r>
    </w:p>
    <w:p>
      <w:pPr>
        <w:pStyle w:val="ListParagraph"/>
        <w:numPr>
          <w:ilvl w:val="0"/>
          <w:numId w:val="2"/>
        </w:numPr>
        <w:spacing w:before="30" w:after="30"/>
      </w:pPr>
      <w:r>
        <w:rPr>
          <w:rFonts w:ascii="Arial" w:cs="Arial" w:eastAsia="Arial" w:hAnsi="Arial"/>
          <w:b w:val="false"/>
          <w:bCs w:val="false"/>
          <w:sz w:val="22"/>
          <w:szCs w:val="22"/>
        </w:rPr>
        <w:t xml:space="preserve">Oregon Board of Psychologist Examiners, Vice-Chair (2012–2015)</w:t>
      </w:r>
    </w:p>
    <w:p>
      <w:pPr>
        <w:pStyle w:val="ListParagraph"/>
        <w:numPr>
          <w:ilvl w:val="0"/>
          <w:numId w:val="2"/>
        </w:numPr>
        <w:spacing w:before="30" w:after="30"/>
      </w:pPr>
      <w:r>
        <w:rPr>
          <w:rFonts w:ascii="Arial" w:cs="Arial" w:eastAsia="Arial" w:hAnsi="Arial"/>
          <w:b w:val="false"/>
          <w:bCs w:val="false"/>
          <w:sz w:val="22"/>
          <w:szCs w:val="22"/>
        </w:rPr>
        <w:t xml:space="preserve">Oregon Health Improvement Plan Committee (2010–2011)</w:t>
      </w:r>
    </w:p>
    <w:p>
      <w:pPr>
        <w:pStyle w:val="ListParagraph"/>
        <w:numPr>
          <w:ilvl w:val="0"/>
          <w:numId w:val="2"/>
        </w:numPr>
        <w:spacing w:before="30" w:after="30"/>
      </w:pPr>
      <w:r>
        <w:rPr>
          <w:rFonts w:ascii="Arial" w:cs="Arial" w:eastAsia="Arial" w:hAnsi="Arial"/>
          <w:b w:val="false"/>
          <w:bCs w:val="false"/>
          <w:sz w:val="22"/>
          <w:szCs w:val="22"/>
        </w:rPr>
        <w:t xml:space="preserve">Hispanic Agenda for Action Coalition (2009–2011)</w:t>
      </w:r>
    </w:p>
    <w:p>
      <w:pPr>
        <w:pStyle w:val="ListParagraph"/>
        <w:numPr>
          <w:ilvl w:val="0"/>
          <w:numId w:val="2"/>
        </w:numPr>
        <w:spacing w:before="30" w:after="30"/>
      </w:pPr>
      <w:r>
        <w:rPr>
          <w:rFonts w:ascii="Arial" w:cs="Arial" w:eastAsia="Arial" w:hAnsi="Arial"/>
          <w:b w:val="false"/>
          <w:bCs w:val="false"/>
          <w:sz w:val="22"/>
          <w:szCs w:val="22"/>
        </w:rPr>
        <w:t xml:space="preserve">Pacific University — Multiple faculty governance and interdisciplinary training committees (2008–2011)</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2026-03-26T20:56:13.904Z</dcterms:created>
  <dcterms:modified xsi:type="dcterms:W3CDTF">2026-03-26T20:56:13.905Z</dcterms:modified>
</cp:coreProperties>
</file>

<file path=docProps/custom.xml><?xml version="1.0" encoding="utf-8"?>
<Properties xmlns="http://schemas.openxmlformats.org/officeDocument/2006/custom-properties" xmlns:vt="http://schemas.openxmlformats.org/officeDocument/2006/docPropsVTypes"/>
</file>